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67D71" w14:textId="4BF24034" w:rsidR="00764A98" w:rsidRDefault="0081433A"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REGIMENTO INTERNO DO TRIBUNAL DE JUSTIÇA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Capitulo IV - Das Intervenções Federal e Estadual e dos Precatórios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Seção III - Dos Precatórios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Art. 266. O ofício requisitório enviado ao Presidente do Tribunal pelo juízo da execução, em duas vias, deve conter os seguintes dados: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 - número do processo de execução;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II - data do ajuizamento do processo de conhecimento;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III - natureza da obrigação (assunto) a que se refere o pagamento;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IV - natureza do crédito (comum ou alimentar);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V - valor global da requisição;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VI - nome das partes (exequente e executada) e de seus respectivos procuradores, com número de inscrição na OAB, para fins de intimação;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VII - data do trânsito em julgado da sentença ou acórdão, no processo de conhecimento;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VIII - data do trânsito em julgado da sentença ou acórdão, nos embargos à execução, se houver, ou data do decurso do prazo para sua interposição;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IX - data-base considerada para efeito de atualização monetária dos valores requisitados;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X - data de intimação da entidade de Direito Público devedora, para fins do disposto no artigo 100, §§ 9º e 10, da CF;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XI - data em que se tornou definitiva a decisão que determinou a compensação dos débitos apresentados pela Fazenda Pública, nos termos do artigo 100, §§ 9º e 10, da Constituição Federal;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XII - relação de todos os credores-exequentes, inclusive quando se tratar de advogado, perito etc., com as seguintes informações, de forma individualizada: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a - o nome e número de CPF ou CNPJ;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b - se incapaz, espólio, massa falida, etc.;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c - quando se tratar de precatório de natureza alimentícia, a indicação da data de nascimento do beneficiário e/ou se portador de doença grave, na forma da lei;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d - quando se tratar de ação com objeto de prestação de natureza salarial, a indicação do órgão da administração direta ou indireta a que estiver vinculado o credor, bem como a condição de ativo, inativo ou pensionista;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e - natureza do crédito requisitado (principal, correção monetária, juros, custas e despesas processuais, honorários contratuais, honorários de sucumbência, honorários periciais, etc.);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f - se requisição de pagamento total, parcial, complementar ou suplementar, com o respectivo valor;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g - quando se tratar de ação com objeto de prestação de natureza salarial, o valor das contribuições previdenciárias e hospitalares, quando couber a incidência.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Art. 267. Os requisitórios serão recebidos no protocolo do Tribunal e processados do seguinte modo: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 - cada requisitório será autuado e recebido pelo DEPRE, que conferirá sua regularidade formal, determinando a eventual regularização;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II - regular o requisitório, será expedido o precatório, relacionado em ordem cronológica, para efeitos de precedência;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lastRenderedPageBreak/>
        <w:t>III - encerrado, a primeiro de julho, o período anual, o DEPRE calculará os valores a pagar, atualizados, para que se comunique a cada entidade o débito geral apurado;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IV - recebidos os valores para pagamento, serão eles determinados na ordem de apresentação, consideradas as preferências constitucionais, com as atualizações devidas;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V - encaminhado o pagamento ao juízo da execução, o precatório será tido como pago, aguardando-se eventual comunicação de insuficiência, pelo mesmo juízo, pelo prazo de cento e oitenta dias.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§ 1º - Decorrido esse prazo sem qualquer comunicação, o precatório será considerado pago de forma definitiva e dada sua baixa.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§ 2º - Comunicada, no prazo acima fixado, impugnação ao depósito efetuado, aguardar-se-á a decisão do juízo da execução a respeito da integralidade do pagamento.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§ 3º - Havendo diferença, será requisitado o depósito desse valor, em noventa dias. Regularizado o pagamento, será transmitido ao juízo da execução, prosseguindo-se na forma acima. Se não efetuada a complementação do depósito insuficiente, o precatório permanecerá em aberto até pagamento completo.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Art. 268. Além do previsto na legislação, compete ao Presidente do Tribunal de Justiça: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 - expedir instruções necessárias à regular tramitação dos precatórios;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II - determinar as diligências para a regularização dos processos;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III - ordenar, de ofício ou a requerimento das partes, a correção de inexatidões materiais do cálculo;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IV - mandar atualizar, a partir de dois de julho, os valores dos precatórios apresentados até o dia anterior;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V - resolver as questões relativas ao cumprimento dos precatórios, inclusive a determinação para que se refaça o cálculo da atualização monetária, se houver alteração de indexador monetário;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VI - manter em aberto os precatórios, conservando a precedência até o integral cumprimento;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VII - requisitar das entidades devedoras a complementação de depósitos insuficientes, no prazo de noventa dias, determinando vista aos interessados, no caso de desobediência;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VIII - mandar publicar, no órgão oficial, até o décimo quinto dia do mês de janeiro, para ciência dos interessados, a relação dos precatórios não satisfeitos no exercício financeiro findo;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IX - solicitar a apresentação dos autos originais, quando necessário.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Art. 269. Das decisões do Presidente do Tribunal, nos pedidos de sequestro, não caberá agravo regimental.</w:t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</w:rPr>
        <w:br/>
      </w:r>
      <w:r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Art. 270. Ressalvado o sequestro de rendas, o Presidente do Tribunal poderá delegar sua competência referente ao trâmite e verificação de precatórios a desembargador, de preferência, integrante do Órgão Especial.</w:t>
      </w:r>
    </w:p>
    <w:sectPr w:rsidR="00764A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A98"/>
    <w:rsid w:val="00764A98"/>
    <w:rsid w:val="0081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20C925-8286-4DC7-AE77-C8319ABF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827</Words>
  <Characters>4467</Characters>
  <Application>Microsoft Office Word</Application>
  <DocSecurity>0</DocSecurity>
  <Lines>37</Lines>
  <Paragraphs>10</Paragraphs>
  <ScaleCrop>false</ScaleCrop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Rabenschlag</dc:creator>
  <cp:keywords/>
  <dc:description/>
  <cp:lastModifiedBy>Sandra Rabenschlag</cp:lastModifiedBy>
  <cp:revision>2</cp:revision>
  <dcterms:created xsi:type="dcterms:W3CDTF">2023-04-17T01:11:00Z</dcterms:created>
  <dcterms:modified xsi:type="dcterms:W3CDTF">2023-04-17T01:11:00Z</dcterms:modified>
</cp:coreProperties>
</file>